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92B97" w14:textId="3FFFB39F" w:rsidR="007A65B5" w:rsidRDefault="007A65B5" w:rsidP="007A65B5">
      <w:pPr>
        <w:spacing w:after="0" w:line="480" w:lineRule="auto"/>
        <w:jc w:val="center"/>
        <w:rPr>
          <w:rFonts w:ascii="Times New Roman" w:hAnsi="Times New Roman" w:cs="Times New Roman"/>
          <w:color w:val="1B1B1B"/>
          <w:sz w:val="24"/>
          <w:szCs w:val="24"/>
          <w:shd w:val="clear" w:color="auto" w:fill="FFFFFF"/>
        </w:rPr>
      </w:pPr>
    </w:p>
    <w:p w14:paraId="4F9AB50D" w14:textId="7D2088D6" w:rsidR="00832527" w:rsidRDefault="00832527" w:rsidP="007A65B5">
      <w:pPr>
        <w:spacing w:after="0" w:line="480" w:lineRule="auto"/>
        <w:jc w:val="center"/>
        <w:rPr>
          <w:rFonts w:ascii="Times New Roman" w:hAnsi="Times New Roman" w:cs="Times New Roman"/>
          <w:color w:val="1B1B1B"/>
          <w:sz w:val="24"/>
          <w:szCs w:val="24"/>
          <w:shd w:val="clear" w:color="auto" w:fill="FFFFFF"/>
        </w:rPr>
      </w:pPr>
    </w:p>
    <w:p w14:paraId="642E8721" w14:textId="6802F3E6" w:rsidR="00832527" w:rsidRDefault="00832527" w:rsidP="007A65B5">
      <w:pPr>
        <w:spacing w:after="0" w:line="480" w:lineRule="auto"/>
        <w:jc w:val="center"/>
        <w:rPr>
          <w:rFonts w:ascii="Times New Roman" w:hAnsi="Times New Roman" w:cs="Times New Roman"/>
          <w:color w:val="1B1B1B"/>
          <w:sz w:val="24"/>
          <w:szCs w:val="24"/>
          <w:shd w:val="clear" w:color="auto" w:fill="FFFFFF"/>
        </w:rPr>
      </w:pPr>
    </w:p>
    <w:p w14:paraId="5453A282" w14:textId="278E3AE8" w:rsidR="00832527" w:rsidRDefault="00832527" w:rsidP="007A65B5">
      <w:pPr>
        <w:spacing w:after="0" w:line="480" w:lineRule="auto"/>
        <w:jc w:val="center"/>
        <w:rPr>
          <w:rFonts w:ascii="Times New Roman" w:hAnsi="Times New Roman" w:cs="Times New Roman"/>
          <w:color w:val="1B1B1B"/>
          <w:sz w:val="24"/>
          <w:szCs w:val="24"/>
          <w:shd w:val="clear" w:color="auto" w:fill="FFFFFF"/>
        </w:rPr>
      </w:pPr>
    </w:p>
    <w:p w14:paraId="16769C6B" w14:textId="5F5B68F2" w:rsidR="00832527" w:rsidRDefault="00832527" w:rsidP="007A65B5">
      <w:pPr>
        <w:spacing w:after="0" w:line="480" w:lineRule="auto"/>
        <w:jc w:val="center"/>
        <w:rPr>
          <w:rFonts w:ascii="Times New Roman" w:hAnsi="Times New Roman" w:cs="Times New Roman"/>
          <w:color w:val="1B1B1B"/>
          <w:sz w:val="24"/>
          <w:szCs w:val="24"/>
          <w:shd w:val="clear" w:color="auto" w:fill="FFFFFF"/>
        </w:rPr>
      </w:pPr>
    </w:p>
    <w:p w14:paraId="50D5EEF8" w14:textId="3A3D7EE1" w:rsidR="00832527" w:rsidRDefault="00832527" w:rsidP="007A65B5">
      <w:pPr>
        <w:spacing w:after="0" w:line="480" w:lineRule="auto"/>
        <w:jc w:val="center"/>
        <w:rPr>
          <w:rFonts w:ascii="Times New Roman" w:hAnsi="Times New Roman" w:cs="Times New Roman"/>
          <w:color w:val="1B1B1B"/>
          <w:sz w:val="24"/>
          <w:szCs w:val="24"/>
          <w:shd w:val="clear" w:color="auto" w:fill="FFFFFF"/>
        </w:rPr>
      </w:pPr>
    </w:p>
    <w:p w14:paraId="64394EF5" w14:textId="05970950" w:rsidR="00832527" w:rsidRDefault="00832527" w:rsidP="007A65B5">
      <w:pPr>
        <w:spacing w:after="0" w:line="480" w:lineRule="auto"/>
        <w:jc w:val="center"/>
        <w:rPr>
          <w:rFonts w:ascii="Times New Roman" w:hAnsi="Times New Roman" w:cs="Times New Roman"/>
          <w:color w:val="1B1B1B"/>
          <w:sz w:val="24"/>
          <w:szCs w:val="24"/>
          <w:shd w:val="clear" w:color="auto" w:fill="FFFFFF"/>
        </w:rPr>
      </w:pPr>
    </w:p>
    <w:p w14:paraId="0E4D02A7" w14:textId="77777777" w:rsidR="00832527" w:rsidRDefault="00832527" w:rsidP="007A65B5">
      <w:pPr>
        <w:spacing w:after="0" w:line="480" w:lineRule="auto"/>
        <w:jc w:val="center"/>
        <w:rPr>
          <w:rFonts w:ascii="Times New Roman" w:hAnsi="Times New Roman" w:cs="Times New Roman"/>
          <w:color w:val="1B1B1B"/>
          <w:sz w:val="24"/>
          <w:szCs w:val="24"/>
          <w:shd w:val="clear" w:color="auto" w:fill="FFFFFF"/>
        </w:rPr>
      </w:pPr>
    </w:p>
    <w:p w14:paraId="7BBA0636" w14:textId="210364A9" w:rsidR="007A65B5" w:rsidRDefault="004A57FC" w:rsidP="007A65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Question-Answer Assignment</w:t>
      </w:r>
    </w:p>
    <w:p w14:paraId="2A8D34F6" w14:textId="77777777" w:rsidR="007A65B5" w:rsidRDefault="007A65B5" w:rsidP="007A65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1F14D20" w14:textId="77777777" w:rsidR="00533FAD" w:rsidRDefault="007A65B5" w:rsidP="007A65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533FAD">
        <w:rPr>
          <w:rFonts w:ascii="Times New Roman" w:hAnsi="Times New Roman" w:cs="Times New Roman"/>
          <w:sz w:val="24"/>
          <w:szCs w:val="24"/>
        </w:rPr>
        <w:t>s</w:t>
      </w:r>
    </w:p>
    <w:p w14:paraId="68C7E014" w14:textId="77777777" w:rsidR="00533FAD" w:rsidRDefault="00533FAD" w:rsidP="007A65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472C53" w14:textId="60A244F8" w:rsidR="007A65B5" w:rsidRDefault="004E7472" w:rsidP="007A65B5">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sz w:val="24"/>
          <w:szCs w:val="24"/>
        </w:rPr>
        <w:lastRenderedPageBreak/>
        <w:t>Question-Answer Assignment</w:t>
      </w:r>
    </w:p>
    <w:p w14:paraId="217C1D88" w14:textId="3060B609" w:rsidR="00F215AF" w:rsidRPr="00E2080C" w:rsidRDefault="00F215AF" w:rsidP="00E2080C">
      <w:pPr>
        <w:pStyle w:val="ListParagraph"/>
        <w:numPr>
          <w:ilvl w:val="0"/>
          <w:numId w:val="2"/>
        </w:numPr>
        <w:spacing w:after="0" w:line="480" w:lineRule="auto"/>
        <w:rPr>
          <w:rFonts w:ascii="Times New Roman" w:hAnsi="Times New Roman" w:cs="Times New Roman"/>
          <w:b/>
          <w:color w:val="1B1B1B"/>
          <w:sz w:val="24"/>
          <w:szCs w:val="24"/>
          <w:shd w:val="clear" w:color="auto" w:fill="FFFFFF"/>
        </w:rPr>
      </w:pPr>
      <w:r w:rsidRPr="00E2080C">
        <w:rPr>
          <w:rFonts w:ascii="Times New Roman" w:hAnsi="Times New Roman" w:cs="Times New Roman"/>
          <w:b/>
          <w:color w:val="1B1B1B"/>
          <w:sz w:val="24"/>
          <w:szCs w:val="24"/>
          <w:shd w:val="clear" w:color="auto" w:fill="FFFFFF"/>
        </w:rPr>
        <w:t>What are the similarities and differences between Net Present Value and IRR?</w:t>
      </w:r>
    </w:p>
    <w:p w14:paraId="3185B8C8" w14:textId="77777777" w:rsidR="00F215AF" w:rsidRPr="00F215AF" w:rsidRDefault="00F215AF" w:rsidP="00F215AF">
      <w:pPr>
        <w:spacing w:after="0" w:line="480" w:lineRule="auto"/>
        <w:ind w:firstLine="720"/>
        <w:rPr>
          <w:rFonts w:ascii="Times New Roman" w:hAnsi="Times New Roman" w:cs="Times New Roman"/>
          <w:color w:val="1B1B1B"/>
          <w:sz w:val="24"/>
          <w:szCs w:val="24"/>
          <w:shd w:val="clear" w:color="auto" w:fill="FFFFFF"/>
        </w:rPr>
      </w:pPr>
      <w:r w:rsidRPr="007A65B5">
        <w:rPr>
          <w:rFonts w:ascii="Times New Roman" w:hAnsi="Times New Roman" w:cs="Times New Roman"/>
          <w:color w:val="1B1B1B"/>
          <w:sz w:val="24"/>
          <w:szCs w:val="24"/>
          <w:shd w:val="clear" w:color="auto" w:fill="FFFFFF"/>
        </w:rPr>
        <w:t>Some of the similarities between Net Present Value and IRR include: Both are considered</w:t>
      </w:r>
      <w:r w:rsidRPr="00F215AF">
        <w:rPr>
          <w:rFonts w:ascii="Times New Roman" w:hAnsi="Times New Roman" w:cs="Times New Roman"/>
          <w:color w:val="1B1B1B"/>
          <w:sz w:val="24"/>
          <w:szCs w:val="24"/>
          <w:shd w:val="clear" w:color="auto" w:fill="FFFFFF"/>
        </w:rPr>
        <w:t xml:space="preserve"> to be modern styles of capital budgeting; both styles take into considering the time value of money; both techniques as used as financial tools to determine whether to reject to accept an independent investment proposal (Money Matters, 2018). </w:t>
      </w:r>
    </w:p>
    <w:p w14:paraId="720EAA58" w14:textId="77777777" w:rsidR="00F215AF" w:rsidRPr="00F215AF" w:rsidRDefault="00F215AF" w:rsidP="00F215AF">
      <w:pPr>
        <w:spacing w:after="0" w:line="480" w:lineRule="auto"/>
        <w:ind w:firstLine="720"/>
        <w:rPr>
          <w:rFonts w:ascii="Times New Roman" w:hAnsi="Times New Roman" w:cs="Times New Roman"/>
          <w:color w:val="1B1B1B"/>
          <w:sz w:val="24"/>
          <w:szCs w:val="24"/>
          <w:shd w:val="clear" w:color="auto" w:fill="FFFFFF"/>
        </w:rPr>
      </w:pPr>
      <w:r w:rsidRPr="00F215AF">
        <w:rPr>
          <w:rFonts w:ascii="Times New Roman" w:hAnsi="Times New Roman" w:cs="Times New Roman"/>
          <w:color w:val="1B1B1B"/>
          <w:sz w:val="24"/>
          <w:szCs w:val="24"/>
          <w:shd w:val="clear" w:color="auto" w:fill="FFFFFF"/>
        </w:rPr>
        <w:t>The differences, on the other hand, include: Net Present Value recognizes the significance of the market rate of interest while IRR does not, but prefers to focus on the maximum investment of the rate of interest. Also, in Net Present Value, cash inflows are reinvested at the cut off rate, while on the other hand, in IRR, cash inflows are reinvested at the internal rate of return (Money Matters, 2018).</w:t>
      </w:r>
    </w:p>
    <w:p w14:paraId="37A9DC11" w14:textId="35D1A6E1" w:rsidR="00F215AF" w:rsidRPr="00E2080C" w:rsidRDefault="00F215AF" w:rsidP="00E2080C">
      <w:pPr>
        <w:pStyle w:val="ListParagraph"/>
        <w:numPr>
          <w:ilvl w:val="0"/>
          <w:numId w:val="2"/>
        </w:numPr>
        <w:spacing w:after="0" w:line="480" w:lineRule="auto"/>
        <w:rPr>
          <w:rFonts w:ascii="Times New Roman" w:hAnsi="Times New Roman" w:cs="Times New Roman"/>
          <w:b/>
          <w:color w:val="1B1B1B"/>
          <w:sz w:val="24"/>
          <w:szCs w:val="24"/>
          <w:shd w:val="clear" w:color="auto" w:fill="FFFFFF"/>
        </w:rPr>
      </w:pPr>
      <w:r w:rsidRPr="00E2080C">
        <w:rPr>
          <w:rFonts w:ascii="Times New Roman" w:hAnsi="Times New Roman" w:cs="Times New Roman"/>
          <w:b/>
          <w:color w:val="1B1B1B"/>
          <w:sz w:val="24"/>
          <w:szCs w:val="24"/>
          <w:shd w:val="clear" w:color="auto" w:fill="FFFFFF"/>
        </w:rPr>
        <w:t>Describe how net present value is used in the financial decision-making process.</w:t>
      </w:r>
    </w:p>
    <w:p w14:paraId="0A6C59D0" w14:textId="77777777" w:rsidR="00F215AF" w:rsidRPr="00F215AF" w:rsidRDefault="00F215AF" w:rsidP="00F215AF">
      <w:pPr>
        <w:spacing w:after="0" w:line="480" w:lineRule="auto"/>
        <w:ind w:firstLine="720"/>
        <w:rPr>
          <w:rFonts w:ascii="Times New Roman" w:hAnsi="Times New Roman" w:cs="Times New Roman"/>
          <w:color w:val="1B1B1B"/>
          <w:sz w:val="24"/>
          <w:szCs w:val="24"/>
          <w:shd w:val="clear" w:color="auto" w:fill="FFFFFF"/>
        </w:rPr>
      </w:pPr>
      <w:r w:rsidRPr="00F215AF">
        <w:rPr>
          <w:rFonts w:ascii="Times New Roman" w:hAnsi="Times New Roman" w:cs="Times New Roman"/>
          <w:color w:val="1B1B1B"/>
          <w:sz w:val="24"/>
          <w:szCs w:val="24"/>
          <w:shd w:val="clear" w:color="auto" w:fill="FFFFFF"/>
        </w:rPr>
        <w:t xml:space="preserve">Anthony (2018) defines Net Present Value as a method that is used in the business to determine whether a particular project is worth pursuing. According to the author, Net Present Value (NPV) is a quantitative method that managers use to measure the cash inflows, cash outflows and the time value of money (Anthony, 2018). Therefore, a manager will decide on whether to adopt the project based on the above three factors of consideration. As a decision-making tool, after calculating the NPV of the project, managers can use NPV to either accept a project or reject it. According to Anthony (2018), a project can be accepted it its NPV is greater than zero (0). Therefore, any project with a positive NPV is worth taking because it means that the project will be profitable. </w:t>
      </w:r>
    </w:p>
    <w:p w14:paraId="79BE27AC" w14:textId="14F58D77" w:rsidR="00F215AF" w:rsidRPr="00E2080C" w:rsidRDefault="00F215AF" w:rsidP="00E2080C">
      <w:pPr>
        <w:pStyle w:val="ListParagraph"/>
        <w:numPr>
          <w:ilvl w:val="0"/>
          <w:numId w:val="2"/>
        </w:numPr>
        <w:spacing w:after="0" w:line="480" w:lineRule="auto"/>
        <w:rPr>
          <w:rFonts w:ascii="Times New Roman" w:hAnsi="Times New Roman" w:cs="Times New Roman"/>
          <w:b/>
          <w:color w:val="1B1B1B"/>
          <w:sz w:val="24"/>
          <w:szCs w:val="24"/>
          <w:shd w:val="clear" w:color="auto" w:fill="FFFFFF"/>
        </w:rPr>
      </w:pPr>
      <w:r w:rsidRPr="00E2080C">
        <w:rPr>
          <w:rFonts w:ascii="Times New Roman" w:hAnsi="Times New Roman" w:cs="Times New Roman"/>
          <w:b/>
          <w:color w:val="1B1B1B"/>
          <w:sz w:val="24"/>
          <w:szCs w:val="24"/>
          <w:shd w:val="clear" w:color="auto" w:fill="FFFFFF"/>
        </w:rPr>
        <w:t>Compare and contrast the internal rate of return (IRR) method from the net present value method (NPV).</w:t>
      </w:r>
    </w:p>
    <w:p w14:paraId="0F04EAA6" w14:textId="77777777" w:rsidR="00F215AF" w:rsidRPr="00F215AF" w:rsidRDefault="00F215AF" w:rsidP="00F215AF">
      <w:pPr>
        <w:spacing w:after="0" w:line="480" w:lineRule="auto"/>
        <w:ind w:firstLine="720"/>
        <w:rPr>
          <w:rFonts w:ascii="Times New Roman" w:hAnsi="Times New Roman" w:cs="Times New Roman"/>
          <w:color w:val="1B1B1B"/>
          <w:sz w:val="24"/>
          <w:szCs w:val="24"/>
          <w:shd w:val="clear" w:color="auto" w:fill="FFFFFF"/>
        </w:rPr>
      </w:pPr>
      <w:r w:rsidRPr="00F215AF">
        <w:rPr>
          <w:rFonts w:ascii="Times New Roman" w:hAnsi="Times New Roman" w:cs="Times New Roman"/>
          <w:color w:val="1B1B1B"/>
          <w:sz w:val="24"/>
          <w:szCs w:val="24"/>
          <w:shd w:val="clear" w:color="auto" w:fill="FFFFFF"/>
        </w:rPr>
        <w:lastRenderedPageBreak/>
        <w:t>One of the similarities that exist between the IRR method and the NPV method is that they are both used to make decisions in a business, especially when the firm is undergoing a financial dilemma. The two methods, NPV and IRR, are the most commonly used parameters to determine whether the investment proposal is worth taking (Surbhi (2015).</w:t>
      </w:r>
    </w:p>
    <w:p w14:paraId="4AAA8AD7" w14:textId="77777777" w:rsidR="00F215AF" w:rsidRPr="00F215AF" w:rsidRDefault="00F215AF" w:rsidP="00F215AF">
      <w:pPr>
        <w:spacing w:after="0" w:line="480" w:lineRule="auto"/>
        <w:ind w:firstLine="720"/>
        <w:rPr>
          <w:rFonts w:ascii="Times New Roman" w:hAnsi="Times New Roman" w:cs="Times New Roman"/>
          <w:color w:val="1B1B1B"/>
          <w:sz w:val="24"/>
          <w:szCs w:val="24"/>
          <w:shd w:val="clear" w:color="auto" w:fill="FFFFFF"/>
        </w:rPr>
      </w:pPr>
      <w:r w:rsidRPr="00F215AF">
        <w:rPr>
          <w:rFonts w:ascii="Times New Roman" w:hAnsi="Times New Roman" w:cs="Times New Roman"/>
          <w:color w:val="1B1B1B"/>
          <w:sz w:val="24"/>
          <w:szCs w:val="24"/>
          <w:shd w:val="clear" w:color="auto" w:fill="FFFFFF"/>
        </w:rPr>
        <w:t xml:space="preserve">On the other hand, the two methods have differences that make them unique and distinct from each other. One of the differences is that when used to determine the investment proposal, they give contradictory results. For instance, one project may be acceptable if the NPV method is used while the same project may not be acceptable when IRR is used. However, this difference emanates from the variance in the cash inflows, outflows and the life of the project (Surbhi, 2015). </w:t>
      </w:r>
    </w:p>
    <w:p w14:paraId="0B9D3E37" w14:textId="1C1F437F" w:rsidR="00F215AF" w:rsidRPr="00E2080C" w:rsidRDefault="00F215AF" w:rsidP="00E2080C">
      <w:pPr>
        <w:pStyle w:val="ListParagraph"/>
        <w:numPr>
          <w:ilvl w:val="0"/>
          <w:numId w:val="2"/>
        </w:numPr>
        <w:spacing w:after="0" w:line="480" w:lineRule="auto"/>
        <w:rPr>
          <w:rFonts w:ascii="Times New Roman" w:hAnsi="Times New Roman" w:cs="Times New Roman"/>
          <w:b/>
          <w:color w:val="1B1B1B"/>
          <w:sz w:val="24"/>
          <w:szCs w:val="24"/>
          <w:shd w:val="clear" w:color="auto" w:fill="FFFFFF"/>
        </w:rPr>
      </w:pPr>
      <w:r w:rsidRPr="00E2080C">
        <w:rPr>
          <w:rFonts w:ascii="Times New Roman" w:hAnsi="Times New Roman" w:cs="Times New Roman"/>
          <w:b/>
          <w:color w:val="1B1B1B"/>
          <w:sz w:val="24"/>
          <w:szCs w:val="24"/>
          <w:shd w:val="clear" w:color="auto" w:fill="FFFFFF"/>
        </w:rPr>
        <w:t>Explain the capital budgeting process and the different methods managers use to make decisions.</w:t>
      </w:r>
    </w:p>
    <w:p w14:paraId="2A686ADF" w14:textId="77777777" w:rsidR="00F215AF" w:rsidRPr="00F215AF" w:rsidRDefault="00F215AF" w:rsidP="00F215AF">
      <w:pPr>
        <w:spacing w:after="0" w:line="480" w:lineRule="auto"/>
        <w:ind w:firstLine="720"/>
        <w:rPr>
          <w:rFonts w:ascii="Times New Roman" w:hAnsi="Times New Roman" w:cs="Times New Roman"/>
          <w:color w:val="1B1B1B"/>
          <w:sz w:val="24"/>
          <w:szCs w:val="24"/>
          <w:shd w:val="clear" w:color="auto" w:fill="FFFFFF"/>
        </w:rPr>
      </w:pPr>
      <w:r w:rsidRPr="00F215AF">
        <w:rPr>
          <w:rFonts w:ascii="Times New Roman" w:hAnsi="Times New Roman" w:cs="Times New Roman"/>
          <w:color w:val="1B1B1B"/>
          <w:sz w:val="24"/>
          <w:szCs w:val="24"/>
          <w:shd w:val="clear" w:color="auto" w:fill="FFFFFF"/>
        </w:rPr>
        <w:t>Capital budgeting refers to the process in which businesses analyze and decide on which long-term investments to take. Sometimes, it is known as the capital expenditure decision. It involves using the firm’s financial resources to invest in long-term assets. Managers make decisions in different ways; for instance, some managers may decide to use paired comparison analysis where available options are compared against one another, multiple criteria decision analysis where the manager uses systematic framework to evaluate the available options against the probable success, and decision making tree method where managers visualize different decision problems (Decision Innovation, 2018).</w:t>
      </w:r>
    </w:p>
    <w:p w14:paraId="02D8AAE8" w14:textId="5CEB271E" w:rsidR="00F215AF" w:rsidRPr="00E2080C" w:rsidRDefault="00F215AF" w:rsidP="00E2080C">
      <w:pPr>
        <w:pStyle w:val="ListParagraph"/>
        <w:numPr>
          <w:ilvl w:val="0"/>
          <w:numId w:val="2"/>
        </w:numPr>
        <w:spacing w:after="0" w:line="480" w:lineRule="auto"/>
        <w:rPr>
          <w:rFonts w:ascii="Times New Roman" w:hAnsi="Times New Roman" w:cs="Times New Roman"/>
          <w:b/>
          <w:color w:val="1B1B1B"/>
          <w:sz w:val="24"/>
          <w:szCs w:val="24"/>
          <w:shd w:val="clear" w:color="auto" w:fill="FFFFFF"/>
        </w:rPr>
      </w:pPr>
      <w:r w:rsidRPr="00E2080C">
        <w:rPr>
          <w:rFonts w:ascii="Times New Roman" w:hAnsi="Times New Roman" w:cs="Times New Roman"/>
          <w:b/>
          <w:color w:val="1B1B1B"/>
          <w:sz w:val="24"/>
          <w:szCs w:val="24"/>
          <w:shd w:val="clear" w:color="auto" w:fill="FFFFFF"/>
        </w:rPr>
        <w:t>Explain the effects of sunk costs and opportunity costs in deciding whether to accept a project.</w:t>
      </w:r>
    </w:p>
    <w:p w14:paraId="4D213B1B" w14:textId="77777777" w:rsidR="00F215AF" w:rsidRPr="00F215AF" w:rsidRDefault="00F215AF" w:rsidP="00F215AF">
      <w:pPr>
        <w:spacing w:after="0" w:line="480" w:lineRule="auto"/>
        <w:ind w:firstLine="720"/>
        <w:rPr>
          <w:rFonts w:ascii="Times New Roman" w:hAnsi="Times New Roman" w:cs="Times New Roman"/>
          <w:color w:val="1B1B1B"/>
          <w:sz w:val="24"/>
          <w:szCs w:val="24"/>
          <w:shd w:val="clear" w:color="auto" w:fill="FFFFFF"/>
        </w:rPr>
      </w:pPr>
      <w:r w:rsidRPr="00F215AF">
        <w:rPr>
          <w:rFonts w:ascii="Times New Roman" w:hAnsi="Times New Roman" w:cs="Times New Roman"/>
          <w:color w:val="1B1B1B"/>
          <w:sz w:val="24"/>
          <w:szCs w:val="24"/>
          <w:shd w:val="clear" w:color="auto" w:fill="FFFFFF"/>
        </w:rPr>
        <w:lastRenderedPageBreak/>
        <w:t xml:space="preserve">Sunk cost and opportunity cost are considered in capital budgeting. Sunk costs refer to the costs which the business has already incurred but needs to be reflected in the incremental cash flows used in estimating the NPV and IRR. Opportunity costs refer to the costs in the business that may not involve any cash outflows, but they need to be included in the accounting books because they reflect the foregone profit that could have been realized (Accounting Explained, 2018).  In capital budgeting decisions, managers focus on the current and future incremental cash flows and not the expenses that have already been incurred; therefore, the influence of opportunity cost is regarded more than a sunk cost. In this case, the sunk cost will be ignored while opportunity cost considered (Accounting Explained, 2018). </w:t>
      </w:r>
    </w:p>
    <w:p w14:paraId="0EE556D4" w14:textId="763F69FF" w:rsidR="00F215AF" w:rsidRPr="00E2080C" w:rsidRDefault="00F215AF" w:rsidP="00E2080C">
      <w:pPr>
        <w:pStyle w:val="ListParagraph"/>
        <w:numPr>
          <w:ilvl w:val="0"/>
          <w:numId w:val="2"/>
        </w:numPr>
        <w:spacing w:after="0" w:line="480" w:lineRule="auto"/>
        <w:rPr>
          <w:rFonts w:ascii="Times New Roman" w:hAnsi="Times New Roman" w:cs="Times New Roman"/>
          <w:b/>
          <w:color w:val="1B1B1B"/>
          <w:sz w:val="24"/>
          <w:szCs w:val="24"/>
          <w:shd w:val="clear" w:color="auto" w:fill="FFFFFF"/>
        </w:rPr>
      </w:pPr>
      <w:r w:rsidRPr="00E2080C">
        <w:rPr>
          <w:rFonts w:ascii="Times New Roman" w:hAnsi="Times New Roman" w:cs="Times New Roman"/>
          <w:b/>
          <w:color w:val="1B1B1B"/>
          <w:sz w:val="24"/>
          <w:szCs w:val="24"/>
          <w:shd w:val="clear" w:color="auto" w:fill="FFFFFF"/>
        </w:rPr>
        <w:t>Explain how inflation and interest rates affect the capital budgeting process</w:t>
      </w:r>
    </w:p>
    <w:p w14:paraId="0F40A93B" w14:textId="77777777" w:rsidR="00F215AF" w:rsidRPr="00F215AF" w:rsidRDefault="00F215AF" w:rsidP="00F215AF">
      <w:pPr>
        <w:spacing w:after="0" w:line="480" w:lineRule="auto"/>
        <w:ind w:firstLine="720"/>
        <w:rPr>
          <w:rFonts w:ascii="Times New Roman" w:hAnsi="Times New Roman" w:cs="Times New Roman"/>
          <w:color w:val="1B1B1B"/>
          <w:sz w:val="24"/>
          <w:szCs w:val="24"/>
          <w:shd w:val="clear" w:color="auto" w:fill="FFFFFF"/>
        </w:rPr>
      </w:pPr>
      <w:r w:rsidRPr="00F215AF">
        <w:rPr>
          <w:rFonts w:ascii="Times New Roman" w:hAnsi="Times New Roman" w:cs="Times New Roman"/>
          <w:color w:val="1B1B1B"/>
          <w:sz w:val="24"/>
          <w:szCs w:val="24"/>
          <w:shd w:val="clear" w:color="auto" w:fill="FFFFFF"/>
        </w:rPr>
        <w:t xml:space="preserve">According to Gaffney (2017), when a business decides to undertake large projects like constructing a new building, it must take into consideration the financial information to determine whether the project will be successful. However, this requires well-planned and executed capital budget that puts into consideration the inflation. In this case, inflation has a significant effect on capital budgeting analysis because the market cost is influenced by dynamics of the real cost of borrowing, which fluctuates as the interest rates also change (Gaffney, 2017). </w:t>
      </w:r>
    </w:p>
    <w:p w14:paraId="3EA90856" w14:textId="4C1B0AB6" w:rsidR="00F215AF" w:rsidRPr="00E2080C" w:rsidRDefault="00F215AF" w:rsidP="00E2080C">
      <w:pPr>
        <w:pStyle w:val="ListParagraph"/>
        <w:numPr>
          <w:ilvl w:val="0"/>
          <w:numId w:val="2"/>
        </w:numPr>
        <w:spacing w:after="0" w:line="480" w:lineRule="auto"/>
        <w:rPr>
          <w:rFonts w:ascii="Times New Roman" w:hAnsi="Times New Roman" w:cs="Times New Roman"/>
          <w:b/>
          <w:color w:val="1B1B1B"/>
          <w:sz w:val="24"/>
          <w:szCs w:val="24"/>
          <w:shd w:val="clear" w:color="auto" w:fill="FFFFFF"/>
        </w:rPr>
      </w:pPr>
      <w:r w:rsidRPr="00E2080C">
        <w:rPr>
          <w:rFonts w:ascii="Times New Roman" w:hAnsi="Times New Roman" w:cs="Times New Roman"/>
          <w:b/>
          <w:color w:val="1B1B1B"/>
          <w:sz w:val="24"/>
          <w:szCs w:val="24"/>
          <w:shd w:val="clear" w:color="auto" w:fill="FFFFFF"/>
        </w:rPr>
        <w:t>What is the process to perform a break-even analysis? Why is this important step in financial decision making?</w:t>
      </w:r>
    </w:p>
    <w:p w14:paraId="75B1A527" w14:textId="77777777" w:rsidR="00F215AF" w:rsidRPr="00F215AF" w:rsidRDefault="00F215AF" w:rsidP="00F215AF">
      <w:pPr>
        <w:spacing w:after="0" w:line="480" w:lineRule="auto"/>
        <w:ind w:firstLine="720"/>
        <w:rPr>
          <w:rFonts w:ascii="Times New Roman" w:hAnsi="Times New Roman" w:cs="Times New Roman"/>
          <w:color w:val="1B1B1B"/>
          <w:sz w:val="24"/>
          <w:szCs w:val="24"/>
          <w:shd w:val="clear" w:color="auto" w:fill="FFFFFF"/>
        </w:rPr>
      </w:pPr>
      <w:r w:rsidRPr="00F215AF">
        <w:rPr>
          <w:rFonts w:ascii="Times New Roman" w:hAnsi="Times New Roman" w:cs="Times New Roman"/>
          <w:color w:val="1B1B1B"/>
          <w:sz w:val="24"/>
          <w:szCs w:val="24"/>
          <w:shd w:val="clear" w:color="auto" w:fill="FFFFFF"/>
        </w:rPr>
        <w:t xml:space="preserve">Break-even point in business refers to the point at which the organization realizes balanced total revenues and total costs. On one of the processes used to perform a break-even point analysis includes fixed costs and gross profit margin. Break-even point is important step in financial decision making because it helps the managers determine whether the business is </w:t>
      </w:r>
      <w:r w:rsidRPr="00F215AF">
        <w:rPr>
          <w:rFonts w:ascii="Times New Roman" w:hAnsi="Times New Roman" w:cs="Times New Roman"/>
          <w:color w:val="1B1B1B"/>
          <w:sz w:val="24"/>
          <w:szCs w:val="24"/>
          <w:shd w:val="clear" w:color="auto" w:fill="FFFFFF"/>
        </w:rPr>
        <w:lastRenderedPageBreak/>
        <w:t>profitable or not by looking at how profitable the present product is, how far sales can decline, how many units required to be sold before making profits, and how reduction or increase in prices or volumes can affect the profitability (Business Queensland, 2018).</w:t>
      </w:r>
    </w:p>
    <w:p w14:paraId="3B19C82C" w14:textId="7FA5A532" w:rsidR="00F215AF" w:rsidRPr="00E2080C" w:rsidRDefault="00F215AF" w:rsidP="00E2080C">
      <w:pPr>
        <w:pStyle w:val="ListParagraph"/>
        <w:numPr>
          <w:ilvl w:val="0"/>
          <w:numId w:val="2"/>
        </w:numPr>
        <w:spacing w:after="0" w:line="480" w:lineRule="auto"/>
        <w:rPr>
          <w:rFonts w:ascii="Times New Roman" w:hAnsi="Times New Roman" w:cs="Times New Roman"/>
          <w:b/>
          <w:color w:val="1B1B1B"/>
          <w:sz w:val="24"/>
          <w:szCs w:val="24"/>
          <w:shd w:val="clear" w:color="auto" w:fill="FFFFFF"/>
        </w:rPr>
      </w:pPr>
      <w:r w:rsidRPr="00E2080C">
        <w:rPr>
          <w:rFonts w:ascii="Times New Roman" w:hAnsi="Times New Roman" w:cs="Times New Roman"/>
          <w:b/>
          <w:color w:val="1B1B1B"/>
          <w:sz w:val="24"/>
          <w:szCs w:val="24"/>
          <w:shd w:val="clear" w:color="auto" w:fill="FFFFFF"/>
        </w:rPr>
        <w:t>Explain how decision trees are used to value investment alternatives.</w:t>
      </w:r>
    </w:p>
    <w:p w14:paraId="1FCEF40B" w14:textId="7D83DCBF" w:rsidR="007A65B5" w:rsidRDefault="00F215AF" w:rsidP="00832527">
      <w:pPr>
        <w:spacing w:after="0" w:line="480" w:lineRule="auto"/>
        <w:ind w:firstLine="720"/>
        <w:rPr>
          <w:rFonts w:ascii="Times New Roman" w:hAnsi="Times New Roman" w:cs="Times New Roman"/>
          <w:color w:val="1B1B1B"/>
          <w:sz w:val="24"/>
          <w:szCs w:val="24"/>
          <w:shd w:val="clear" w:color="auto" w:fill="FFFFFF"/>
        </w:rPr>
      </w:pPr>
      <w:r w:rsidRPr="00F215AF">
        <w:rPr>
          <w:rFonts w:ascii="Times New Roman" w:hAnsi="Times New Roman" w:cs="Times New Roman"/>
          <w:color w:val="1B1B1B"/>
          <w:sz w:val="24"/>
          <w:szCs w:val="24"/>
          <w:shd w:val="clear" w:color="auto" w:fill="FFFFFF"/>
        </w:rPr>
        <w:t>Decision trees are important in decision making because they help in choosing the best alternative or option. In a value investment alternative, a manager can use the decision tree to determine which best option is available. As Duff (2018) explains, financial decisions are about making choices on the course of action that can help create the most value based on the costs. For instance, when choosing to buy a piece of machine, one can consider different alternatives such as whether to buy a new machine, buy a used machine, lease it, or use what is already available and not to buy.</w:t>
      </w:r>
    </w:p>
    <w:p w14:paraId="01CA3494" w14:textId="77777777" w:rsidR="00832527" w:rsidRDefault="00832527" w:rsidP="007A65B5">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61751B71" w14:textId="2D99D697" w:rsidR="007A65B5" w:rsidRDefault="007A65B5" w:rsidP="007A65B5">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14:paraId="64AAA8E6" w14:textId="4DD3D401" w:rsidR="007A65B5" w:rsidRPr="00F05AEC" w:rsidRDefault="007A65B5" w:rsidP="007A65B5">
      <w:pPr>
        <w:spacing w:after="0" w:line="480" w:lineRule="auto"/>
        <w:ind w:left="720" w:hanging="720"/>
        <w:rPr>
          <w:rFonts w:ascii="Times New Roman" w:hAnsi="Times New Roman" w:cs="Times New Roman"/>
          <w:sz w:val="24"/>
          <w:szCs w:val="24"/>
        </w:rPr>
      </w:pPr>
      <w:r w:rsidRPr="00F05AEC">
        <w:rPr>
          <w:rFonts w:ascii="Times New Roman" w:hAnsi="Times New Roman" w:cs="Times New Roman"/>
          <w:sz w:val="24"/>
          <w:szCs w:val="24"/>
        </w:rPr>
        <w:t xml:space="preserve">Accounting Explained. (2018). Sunk </w:t>
      </w:r>
      <w:r w:rsidR="00553639">
        <w:rPr>
          <w:rFonts w:ascii="Times New Roman" w:hAnsi="Times New Roman" w:cs="Times New Roman"/>
          <w:sz w:val="24"/>
          <w:szCs w:val="24"/>
        </w:rPr>
        <w:t>c</w:t>
      </w:r>
      <w:r w:rsidRPr="00F05AEC">
        <w:rPr>
          <w:rFonts w:ascii="Times New Roman" w:hAnsi="Times New Roman" w:cs="Times New Roman"/>
          <w:sz w:val="24"/>
          <w:szCs w:val="24"/>
        </w:rPr>
        <w:t xml:space="preserve">osts vs </w:t>
      </w:r>
      <w:r w:rsidR="00553639">
        <w:rPr>
          <w:rFonts w:ascii="Times New Roman" w:hAnsi="Times New Roman" w:cs="Times New Roman"/>
          <w:sz w:val="24"/>
          <w:szCs w:val="24"/>
        </w:rPr>
        <w:t>o</w:t>
      </w:r>
      <w:r w:rsidRPr="00F05AEC">
        <w:rPr>
          <w:rFonts w:ascii="Times New Roman" w:hAnsi="Times New Roman" w:cs="Times New Roman"/>
          <w:sz w:val="24"/>
          <w:szCs w:val="24"/>
        </w:rPr>
        <w:t xml:space="preserve">pportunity </w:t>
      </w:r>
      <w:r w:rsidR="00553639">
        <w:rPr>
          <w:rFonts w:ascii="Times New Roman" w:hAnsi="Times New Roman" w:cs="Times New Roman"/>
          <w:sz w:val="24"/>
          <w:szCs w:val="24"/>
        </w:rPr>
        <w:t>c</w:t>
      </w:r>
      <w:bookmarkStart w:id="0" w:name="_GoBack"/>
      <w:bookmarkEnd w:id="0"/>
      <w:r w:rsidRPr="00F05AEC">
        <w:rPr>
          <w:rFonts w:ascii="Times New Roman" w:hAnsi="Times New Roman" w:cs="Times New Roman"/>
          <w:sz w:val="24"/>
          <w:szCs w:val="24"/>
        </w:rPr>
        <w:t xml:space="preserve">osts. </w:t>
      </w:r>
      <w:r w:rsidRPr="00F05AEC">
        <w:rPr>
          <w:rFonts w:ascii="Times New Roman" w:hAnsi="Times New Roman" w:cs="Times New Roman"/>
          <w:i/>
          <w:sz w:val="24"/>
          <w:szCs w:val="24"/>
        </w:rPr>
        <w:t>Accounting Explained</w:t>
      </w:r>
      <w:r w:rsidRPr="00F05AEC">
        <w:rPr>
          <w:rFonts w:ascii="Times New Roman" w:hAnsi="Times New Roman" w:cs="Times New Roman"/>
          <w:sz w:val="24"/>
          <w:szCs w:val="24"/>
        </w:rPr>
        <w:t>. Retrieved from https://accountingexplained.com/managerial/capital-budgeting/sunk-costs-vs-opportunity-costs</w:t>
      </w:r>
    </w:p>
    <w:p w14:paraId="021E5A26" w14:textId="480DDBC5" w:rsidR="007A65B5" w:rsidRPr="00F05AEC" w:rsidRDefault="007A65B5" w:rsidP="007A65B5">
      <w:pPr>
        <w:spacing w:after="0" w:line="480" w:lineRule="auto"/>
        <w:ind w:left="720" w:hanging="720"/>
        <w:rPr>
          <w:rFonts w:ascii="Times New Roman" w:hAnsi="Times New Roman" w:cs="Times New Roman"/>
          <w:sz w:val="24"/>
          <w:szCs w:val="24"/>
        </w:rPr>
      </w:pPr>
      <w:r w:rsidRPr="00F05AEC">
        <w:rPr>
          <w:rFonts w:ascii="Times New Roman" w:hAnsi="Times New Roman" w:cs="Times New Roman"/>
          <w:sz w:val="24"/>
          <w:szCs w:val="24"/>
        </w:rPr>
        <w:t xml:space="preserve">Anthony, C. (2018). Making </w:t>
      </w:r>
      <w:r w:rsidR="00553639">
        <w:rPr>
          <w:rFonts w:ascii="Times New Roman" w:hAnsi="Times New Roman" w:cs="Times New Roman"/>
          <w:sz w:val="24"/>
          <w:szCs w:val="24"/>
        </w:rPr>
        <w:t>b</w:t>
      </w:r>
      <w:r w:rsidRPr="00F05AEC">
        <w:rPr>
          <w:rFonts w:ascii="Times New Roman" w:hAnsi="Times New Roman" w:cs="Times New Roman"/>
          <w:sz w:val="24"/>
          <w:szCs w:val="24"/>
        </w:rPr>
        <w:t xml:space="preserve">usiness </w:t>
      </w:r>
      <w:r w:rsidR="00553639">
        <w:rPr>
          <w:rFonts w:ascii="Times New Roman" w:hAnsi="Times New Roman" w:cs="Times New Roman"/>
          <w:sz w:val="24"/>
          <w:szCs w:val="24"/>
        </w:rPr>
        <w:t>d</w:t>
      </w:r>
      <w:r w:rsidRPr="00F05AEC">
        <w:rPr>
          <w:rFonts w:ascii="Times New Roman" w:hAnsi="Times New Roman" w:cs="Times New Roman"/>
          <w:sz w:val="24"/>
          <w:szCs w:val="24"/>
        </w:rPr>
        <w:t xml:space="preserve">ecisions using </w:t>
      </w:r>
      <w:r w:rsidR="00553639">
        <w:rPr>
          <w:rFonts w:ascii="Times New Roman" w:hAnsi="Times New Roman" w:cs="Times New Roman"/>
          <w:sz w:val="24"/>
          <w:szCs w:val="24"/>
        </w:rPr>
        <w:t>n</w:t>
      </w:r>
      <w:r w:rsidRPr="00F05AEC">
        <w:rPr>
          <w:rFonts w:ascii="Times New Roman" w:hAnsi="Times New Roman" w:cs="Times New Roman"/>
          <w:sz w:val="24"/>
          <w:szCs w:val="24"/>
        </w:rPr>
        <w:t xml:space="preserve">et </w:t>
      </w:r>
      <w:r w:rsidR="00553639">
        <w:rPr>
          <w:rFonts w:ascii="Times New Roman" w:hAnsi="Times New Roman" w:cs="Times New Roman"/>
          <w:sz w:val="24"/>
          <w:szCs w:val="24"/>
        </w:rPr>
        <w:t>p</w:t>
      </w:r>
      <w:r w:rsidRPr="00F05AEC">
        <w:rPr>
          <w:rFonts w:ascii="Times New Roman" w:hAnsi="Times New Roman" w:cs="Times New Roman"/>
          <w:sz w:val="24"/>
          <w:szCs w:val="24"/>
        </w:rPr>
        <w:t xml:space="preserve">resent </w:t>
      </w:r>
      <w:r w:rsidR="00553639">
        <w:rPr>
          <w:rFonts w:ascii="Times New Roman" w:hAnsi="Times New Roman" w:cs="Times New Roman"/>
          <w:sz w:val="24"/>
          <w:szCs w:val="24"/>
        </w:rPr>
        <w:t>v</w:t>
      </w:r>
      <w:r w:rsidRPr="00F05AEC">
        <w:rPr>
          <w:rFonts w:ascii="Times New Roman" w:hAnsi="Times New Roman" w:cs="Times New Roman"/>
          <w:sz w:val="24"/>
          <w:szCs w:val="24"/>
        </w:rPr>
        <w:t xml:space="preserve">alue. </w:t>
      </w:r>
      <w:r w:rsidRPr="00F05AEC">
        <w:rPr>
          <w:rFonts w:ascii="Times New Roman" w:hAnsi="Times New Roman" w:cs="Times New Roman"/>
          <w:i/>
          <w:sz w:val="24"/>
          <w:szCs w:val="24"/>
        </w:rPr>
        <w:t>QuickBooks</w:t>
      </w:r>
      <w:r w:rsidRPr="00F05AEC">
        <w:rPr>
          <w:rFonts w:ascii="Times New Roman" w:hAnsi="Times New Roman" w:cs="Times New Roman"/>
          <w:sz w:val="24"/>
          <w:szCs w:val="24"/>
        </w:rPr>
        <w:t>. Retrieved from https://quickbooks.intuit.com/ca/resources/decision-making/making-business-decisions-using-net-present-value/</w:t>
      </w:r>
    </w:p>
    <w:p w14:paraId="61750811" w14:textId="07AA41FB" w:rsidR="007A65B5" w:rsidRPr="00F05AEC" w:rsidRDefault="007A65B5" w:rsidP="007A65B5">
      <w:pPr>
        <w:spacing w:after="0" w:line="480" w:lineRule="auto"/>
        <w:ind w:left="720" w:hanging="720"/>
        <w:rPr>
          <w:rFonts w:ascii="Times New Roman" w:hAnsi="Times New Roman" w:cs="Times New Roman"/>
          <w:sz w:val="24"/>
          <w:szCs w:val="24"/>
        </w:rPr>
      </w:pPr>
      <w:r w:rsidRPr="00F05AEC">
        <w:rPr>
          <w:rFonts w:ascii="Times New Roman" w:hAnsi="Times New Roman" w:cs="Times New Roman"/>
          <w:sz w:val="24"/>
          <w:szCs w:val="24"/>
        </w:rPr>
        <w:t xml:space="preserve">Business Queensland. (2017, July 17). Calculating your </w:t>
      </w:r>
      <w:r w:rsidR="00553639">
        <w:rPr>
          <w:rFonts w:ascii="Times New Roman" w:hAnsi="Times New Roman" w:cs="Times New Roman"/>
          <w:sz w:val="24"/>
          <w:szCs w:val="24"/>
        </w:rPr>
        <w:t>b</w:t>
      </w:r>
      <w:r w:rsidRPr="00F05AEC">
        <w:rPr>
          <w:rFonts w:ascii="Times New Roman" w:hAnsi="Times New Roman" w:cs="Times New Roman"/>
          <w:sz w:val="24"/>
          <w:szCs w:val="24"/>
        </w:rPr>
        <w:t xml:space="preserve">reak-even </w:t>
      </w:r>
      <w:r w:rsidR="00553639">
        <w:rPr>
          <w:rFonts w:ascii="Times New Roman" w:hAnsi="Times New Roman" w:cs="Times New Roman"/>
          <w:sz w:val="24"/>
          <w:szCs w:val="24"/>
        </w:rPr>
        <w:t>p</w:t>
      </w:r>
      <w:r w:rsidRPr="00F05AEC">
        <w:rPr>
          <w:rFonts w:ascii="Times New Roman" w:hAnsi="Times New Roman" w:cs="Times New Roman"/>
          <w:sz w:val="24"/>
          <w:szCs w:val="24"/>
        </w:rPr>
        <w:t xml:space="preserve">oint. </w:t>
      </w:r>
      <w:r w:rsidRPr="00F05AEC">
        <w:rPr>
          <w:rFonts w:ascii="Times New Roman" w:hAnsi="Times New Roman" w:cs="Times New Roman"/>
          <w:i/>
          <w:sz w:val="24"/>
          <w:szCs w:val="24"/>
        </w:rPr>
        <w:t>Queensland Government.</w:t>
      </w:r>
      <w:r w:rsidRPr="00F05AEC">
        <w:rPr>
          <w:rFonts w:ascii="Times New Roman" w:hAnsi="Times New Roman" w:cs="Times New Roman"/>
          <w:sz w:val="24"/>
          <w:szCs w:val="24"/>
        </w:rPr>
        <w:t xml:space="preserve"> Retrieved from https://www.business.qld.gov.au/running-business/finances-cash-flow/managing-money/break-even-point</w:t>
      </w:r>
    </w:p>
    <w:p w14:paraId="61C37115" w14:textId="5A978C65" w:rsidR="007A65B5" w:rsidRPr="00F05AEC" w:rsidRDefault="007A65B5" w:rsidP="007A65B5">
      <w:pPr>
        <w:spacing w:after="0" w:line="480" w:lineRule="auto"/>
        <w:ind w:left="720" w:hanging="720"/>
        <w:rPr>
          <w:rFonts w:ascii="Times New Roman" w:hAnsi="Times New Roman" w:cs="Times New Roman"/>
          <w:sz w:val="24"/>
          <w:szCs w:val="24"/>
        </w:rPr>
      </w:pPr>
      <w:r w:rsidRPr="00F05AEC">
        <w:rPr>
          <w:rFonts w:ascii="Times New Roman" w:hAnsi="Times New Roman" w:cs="Times New Roman"/>
          <w:sz w:val="24"/>
          <w:szCs w:val="24"/>
        </w:rPr>
        <w:t xml:space="preserve">Decision Innovation. (2018). Different </w:t>
      </w:r>
      <w:r w:rsidR="00553639">
        <w:rPr>
          <w:rFonts w:ascii="Times New Roman" w:hAnsi="Times New Roman" w:cs="Times New Roman"/>
          <w:sz w:val="24"/>
          <w:szCs w:val="24"/>
        </w:rPr>
        <w:t>d</w:t>
      </w:r>
      <w:r w:rsidRPr="00F05AEC">
        <w:rPr>
          <w:rFonts w:ascii="Times New Roman" w:hAnsi="Times New Roman" w:cs="Times New Roman"/>
          <w:sz w:val="24"/>
          <w:szCs w:val="24"/>
        </w:rPr>
        <w:t>ecision</w:t>
      </w:r>
      <w:r w:rsidR="00553639">
        <w:rPr>
          <w:rFonts w:ascii="Times New Roman" w:hAnsi="Times New Roman" w:cs="Times New Roman"/>
          <w:sz w:val="24"/>
          <w:szCs w:val="24"/>
        </w:rPr>
        <w:t>-m</w:t>
      </w:r>
      <w:r w:rsidRPr="00F05AEC">
        <w:rPr>
          <w:rFonts w:ascii="Times New Roman" w:hAnsi="Times New Roman" w:cs="Times New Roman"/>
          <w:sz w:val="24"/>
          <w:szCs w:val="24"/>
        </w:rPr>
        <w:t xml:space="preserve">aking </w:t>
      </w:r>
      <w:r w:rsidR="00553639">
        <w:rPr>
          <w:rFonts w:ascii="Times New Roman" w:hAnsi="Times New Roman" w:cs="Times New Roman"/>
          <w:sz w:val="24"/>
          <w:szCs w:val="24"/>
        </w:rPr>
        <w:t>t</w:t>
      </w:r>
      <w:r w:rsidRPr="00F05AEC">
        <w:rPr>
          <w:rFonts w:ascii="Times New Roman" w:hAnsi="Times New Roman" w:cs="Times New Roman"/>
          <w:sz w:val="24"/>
          <w:szCs w:val="24"/>
        </w:rPr>
        <w:t xml:space="preserve">echniques can improve </w:t>
      </w:r>
      <w:r w:rsidR="00553639">
        <w:rPr>
          <w:rFonts w:ascii="Times New Roman" w:hAnsi="Times New Roman" w:cs="Times New Roman"/>
          <w:sz w:val="24"/>
          <w:szCs w:val="24"/>
        </w:rPr>
        <w:t>d</w:t>
      </w:r>
      <w:r w:rsidRPr="00F05AEC">
        <w:rPr>
          <w:rFonts w:ascii="Times New Roman" w:hAnsi="Times New Roman" w:cs="Times New Roman"/>
          <w:sz w:val="24"/>
          <w:szCs w:val="24"/>
        </w:rPr>
        <w:t xml:space="preserve">ecision </w:t>
      </w:r>
      <w:r w:rsidR="00553639">
        <w:rPr>
          <w:rFonts w:ascii="Times New Roman" w:hAnsi="Times New Roman" w:cs="Times New Roman"/>
          <w:sz w:val="24"/>
          <w:szCs w:val="24"/>
        </w:rPr>
        <w:t>o</w:t>
      </w:r>
      <w:r w:rsidRPr="00F05AEC">
        <w:rPr>
          <w:rFonts w:ascii="Times New Roman" w:hAnsi="Times New Roman" w:cs="Times New Roman"/>
          <w:sz w:val="24"/>
          <w:szCs w:val="24"/>
        </w:rPr>
        <w:t xml:space="preserve">utcomes and your </w:t>
      </w:r>
      <w:r w:rsidR="00553639">
        <w:rPr>
          <w:rFonts w:ascii="Times New Roman" w:hAnsi="Times New Roman" w:cs="Times New Roman"/>
          <w:sz w:val="24"/>
          <w:szCs w:val="24"/>
        </w:rPr>
        <w:t>e</w:t>
      </w:r>
      <w:r w:rsidRPr="00F05AEC">
        <w:rPr>
          <w:rFonts w:ascii="Times New Roman" w:hAnsi="Times New Roman" w:cs="Times New Roman"/>
          <w:sz w:val="24"/>
          <w:szCs w:val="24"/>
        </w:rPr>
        <w:t xml:space="preserve">ffectiveness. </w:t>
      </w:r>
      <w:r w:rsidRPr="00F05AEC">
        <w:rPr>
          <w:rFonts w:ascii="Times New Roman" w:hAnsi="Times New Roman" w:cs="Times New Roman"/>
          <w:i/>
          <w:sz w:val="24"/>
          <w:szCs w:val="24"/>
        </w:rPr>
        <w:t>Decision Innovation.</w:t>
      </w:r>
      <w:r w:rsidRPr="00F05AEC">
        <w:rPr>
          <w:rFonts w:ascii="Times New Roman" w:hAnsi="Times New Roman" w:cs="Times New Roman"/>
          <w:sz w:val="24"/>
          <w:szCs w:val="24"/>
        </w:rPr>
        <w:t xml:space="preserve"> Retrieved from </w:t>
      </w:r>
      <w:hyperlink r:id="rId7" w:history="1">
        <w:r w:rsidRPr="00F05AEC">
          <w:rPr>
            <w:rStyle w:val="Hyperlink"/>
            <w:rFonts w:ascii="Times New Roman" w:hAnsi="Times New Roman" w:cs="Times New Roman"/>
            <w:color w:val="auto"/>
            <w:sz w:val="24"/>
            <w:szCs w:val="24"/>
            <w:u w:val="none"/>
          </w:rPr>
          <w:t>https://www.decision-making-solutions.com/decision_making_techniques.html</w:t>
        </w:r>
      </w:hyperlink>
    </w:p>
    <w:p w14:paraId="21D61B9B" w14:textId="5CF44A73" w:rsidR="007A65B5" w:rsidRPr="00F05AEC" w:rsidRDefault="007A65B5" w:rsidP="007A65B5">
      <w:pPr>
        <w:spacing w:after="0" w:line="480" w:lineRule="auto"/>
        <w:ind w:left="720" w:hanging="720"/>
        <w:rPr>
          <w:rFonts w:ascii="Times New Roman" w:hAnsi="Times New Roman" w:cs="Times New Roman"/>
          <w:sz w:val="24"/>
          <w:szCs w:val="24"/>
        </w:rPr>
      </w:pPr>
      <w:r w:rsidRPr="00F05AEC">
        <w:rPr>
          <w:rFonts w:ascii="Times New Roman" w:hAnsi="Times New Roman" w:cs="Times New Roman"/>
          <w:sz w:val="24"/>
          <w:szCs w:val="24"/>
        </w:rPr>
        <w:t xml:space="preserve">Duff, V. (2018). Decision </w:t>
      </w:r>
      <w:r w:rsidR="00553639">
        <w:rPr>
          <w:rFonts w:ascii="Times New Roman" w:hAnsi="Times New Roman" w:cs="Times New Roman"/>
          <w:sz w:val="24"/>
          <w:szCs w:val="24"/>
        </w:rPr>
        <w:t>t</w:t>
      </w:r>
      <w:r w:rsidRPr="00F05AEC">
        <w:rPr>
          <w:rFonts w:ascii="Times New Roman" w:hAnsi="Times New Roman" w:cs="Times New Roman"/>
          <w:sz w:val="24"/>
          <w:szCs w:val="24"/>
        </w:rPr>
        <w:t xml:space="preserve">rees in </w:t>
      </w:r>
      <w:r w:rsidR="00553639">
        <w:rPr>
          <w:rFonts w:ascii="Times New Roman" w:hAnsi="Times New Roman" w:cs="Times New Roman"/>
          <w:sz w:val="24"/>
          <w:szCs w:val="24"/>
        </w:rPr>
        <w:t>f</w:t>
      </w:r>
      <w:r w:rsidRPr="00F05AEC">
        <w:rPr>
          <w:rFonts w:ascii="Times New Roman" w:hAnsi="Times New Roman" w:cs="Times New Roman"/>
          <w:sz w:val="24"/>
          <w:szCs w:val="24"/>
        </w:rPr>
        <w:t xml:space="preserve">inance. </w:t>
      </w:r>
      <w:r w:rsidRPr="00F05AEC">
        <w:rPr>
          <w:rFonts w:ascii="Times New Roman" w:hAnsi="Times New Roman" w:cs="Times New Roman"/>
          <w:i/>
          <w:sz w:val="24"/>
          <w:szCs w:val="24"/>
        </w:rPr>
        <w:t>Chron.</w:t>
      </w:r>
      <w:r w:rsidRPr="00F05AEC">
        <w:rPr>
          <w:rFonts w:ascii="Times New Roman" w:hAnsi="Times New Roman" w:cs="Times New Roman"/>
          <w:sz w:val="24"/>
          <w:szCs w:val="24"/>
        </w:rPr>
        <w:t xml:space="preserve"> Retrieved from https://smallbusiness.chron.com/decision-trees-finance-34547.html</w:t>
      </w:r>
    </w:p>
    <w:p w14:paraId="2DEDCF25" w14:textId="3F35F897" w:rsidR="007A65B5" w:rsidRPr="00F05AEC" w:rsidRDefault="007A65B5" w:rsidP="007A65B5">
      <w:pPr>
        <w:spacing w:after="0" w:line="480" w:lineRule="auto"/>
        <w:ind w:left="720" w:hanging="720"/>
        <w:rPr>
          <w:rFonts w:ascii="Times New Roman" w:hAnsi="Times New Roman" w:cs="Times New Roman"/>
          <w:sz w:val="24"/>
          <w:szCs w:val="24"/>
        </w:rPr>
      </w:pPr>
      <w:r w:rsidRPr="00F05AEC">
        <w:rPr>
          <w:rFonts w:ascii="Times New Roman" w:hAnsi="Times New Roman" w:cs="Times New Roman"/>
          <w:sz w:val="24"/>
          <w:szCs w:val="24"/>
        </w:rPr>
        <w:t xml:space="preserve">Gaffney, C. (2017, September 26). The </w:t>
      </w:r>
      <w:r w:rsidR="003E0E31">
        <w:rPr>
          <w:rFonts w:ascii="Times New Roman" w:hAnsi="Times New Roman" w:cs="Times New Roman"/>
          <w:sz w:val="24"/>
          <w:szCs w:val="24"/>
        </w:rPr>
        <w:t>e</w:t>
      </w:r>
      <w:r w:rsidRPr="00F05AEC">
        <w:rPr>
          <w:rFonts w:ascii="Times New Roman" w:hAnsi="Times New Roman" w:cs="Times New Roman"/>
          <w:sz w:val="24"/>
          <w:szCs w:val="24"/>
        </w:rPr>
        <w:t xml:space="preserve">ffect of </w:t>
      </w:r>
      <w:r w:rsidR="003E0E31">
        <w:rPr>
          <w:rFonts w:ascii="Times New Roman" w:hAnsi="Times New Roman" w:cs="Times New Roman"/>
          <w:sz w:val="24"/>
          <w:szCs w:val="24"/>
        </w:rPr>
        <w:t>i</w:t>
      </w:r>
      <w:r w:rsidRPr="00F05AEC">
        <w:rPr>
          <w:rFonts w:ascii="Times New Roman" w:hAnsi="Times New Roman" w:cs="Times New Roman"/>
          <w:sz w:val="24"/>
          <w:szCs w:val="24"/>
        </w:rPr>
        <w:t xml:space="preserve">nflation on </w:t>
      </w:r>
      <w:r w:rsidR="003E0E31">
        <w:rPr>
          <w:rFonts w:ascii="Times New Roman" w:hAnsi="Times New Roman" w:cs="Times New Roman"/>
          <w:sz w:val="24"/>
          <w:szCs w:val="24"/>
        </w:rPr>
        <w:t>c</w:t>
      </w:r>
      <w:r w:rsidRPr="00F05AEC">
        <w:rPr>
          <w:rFonts w:ascii="Times New Roman" w:hAnsi="Times New Roman" w:cs="Times New Roman"/>
          <w:sz w:val="24"/>
          <w:szCs w:val="24"/>
        </w:rPr>
        <w:t xml:space="preserve">apital </w:t>
      </w:r>
      <w:r w:rsidR="003E0E31">
        <w:rPr>
          <w:rFonts w:ascii="Times New Roman" w:hAnsi="Times New Roman" w:cs="Times New Roman"/>
          <w:sz w:val="24"/>
          <w:szCs w:val="24"/>
        </w:rPr>
        <w:t>b</w:t>
      </w:r>
      <w:r w:rsidRPr="00F05AEC">
        <w:rPr>
          <w:rFonts w:ascii="Times New Roman" w:hAnsi="Times New Roman" w:cs="Times New Roman"/>
          <w:sz w:val="24"/>
          <w:szCs w:val="24"/>
        </w:rPr>
        <w:t xml:space="preserve">udgeting. </w:t>
      </w:r>
      <w:r w:rsidRPr="00F05AEC">
        <w:rPr>
          <w:rFonts w:ascii="Times New Roman" w:hAnsi="Times New Roman" w:cs="Times New Roman"/>
          <w:i/>
          <w:sz w:val="24"/>
          <w:szCs w:val="24"/>
        </w:rPr>
        <w:t>Bixfluent</w:t>
      </w:r>
      <w:r w:rsidRPr="00F05AEC">
        <w:rPr>
          <w:rFonts w:ascii="Times New Roman" w:hAnsi="Times New Roman" w:cs="Times New Roman"/>
          <w:sz w:val="24"/>
          <w:szCs w:val="24"/>
        </w:rPr>
        <w:t>. Retrieved from https://bizfluent.com/info-8132966-effect-inflation-capital-budgeting.html</w:t>
      </w:r>
    </w:p>
    <w:p w14:paraId="17307D02" w14:textId="688074FF" w:rsidR="007A65B5" w:rsidRPr="00F05AEC" w:rsidRDefault="007A65B5" w:rsidP="007A65B5">
      <w:pPr>
        <w:spacing w:after="0" w:line="480" w:lineRule="auto"/>
        <w:ind w:left="720" w:hanging="720"/>
        <w:rPr>
          <w:rFonts w:ascii="Times New Roman" w:hAnsi="Times New Roman" w:cs="Times New Roman"/>
          <w:sz w:val="24"/>
          <w:szCs w:val="24"/>
        </w:rPr>
      </w:pPr>
      <w:r w:rsidRPr="00F05AEC">
        <w:rPr>
          <w:rFonts w:ascii="Times New Roman" w:hAnsi="Times New Roman" w:cs="Times New Roman"/>
          <w:sz w:val="24"/>
          <w:szCs w:val="24"/>
        </w:rPr>
        <w:t xml:space="preserve">Money Matters. (2018). NPV vs IRR: Similarities and </w:t>
      </w:r>
      <w:r w:rsidR="00370D8D">
        <w:rPr>
          <w:rFonts w:ascii="Times New Roman" w:hAnsi="Times New Roman" w:cs="Times New Roman"/>
          <w:sz w:val="24"/>
          <w:szCs w:val="24"/>
        </w:rPr>
        <w:t>d</w:t>
      </w:r>
      <w:r w:rsidRPr="00F05AEC">
        <w:rPr>
          <w:rFonts w:ascii="Times New Roman" w:hAnsi="Times New Roman" w:cs="Times New Roman"/>
          <w:sz w:val="24"/>
          <w:szCs w:val="24"/>
        </w:rPr>
        <w:t xml:space="preserve">ifferences. </w:t>
      </w:r>
      <w:r w:rsidRPr="00F05AEC">
        <w:rPr>
          <w:rFonts w:ascii="Times New Roman" w:hAnsi="Times New Roman" w:cs="Times New Roman"/>
          <w:i/>
          <w:sz w:val="24"/>
          <w:szCs w:val="24"/>
        </w:rPr>
        <w:t>Money Matters.</w:t>
      </w:r>
      <w:r w:rsidRPr="00F05AEC">
        <w:rPr>
          <w:rFonts w:ascii="Times New Roman" w:hAnsi="Times New Roman" w:cs="Times New Roman"/>
          <w:sz w:val="24"/>
          <w:szCs w:val="24"/>
        </w:rPr>
        <w:t xml:space="preserve"> Retrieved from </w:t>
      </w:r>
      <w:hyperlink r:id="rId8" w:history="1">
        <w:r w:rsidRPr="00F05AEC">
          <w:rPr>
            <w:rStyle w:val="Hyperlink"/>
            <w:rFonts w:ascii="Times New Roman" w:hAnsi="Times New Roman" w:cs="Times New Roman"/>
            <w:color w:val="auto"/>
            <w:sz w:val="24"/>
            <w:szCs w:val="24"/>
            <w:u w:val="none"/>
          </w:rPr>
          <w:t>https://accountlearning.com/npv-vs-irr-similarities-differences/</w:t>
        </w:r>
      </w:hyperlink>
    </w:p>
    <w:p w14:paraId="2502B535" w14:textId="6208A92E" w:rsidR="00EC7E51" w:rsidRPr="00832527" w:rsidRDefault="007A65B5" w:rsidP="00832527">
      <w:pPr>
        <w:spacing w:after="0" w:line="480" w:lineRule="auto"/>
        <w:ind w:left="720" w:hanging="720"/>
        <w:rPr>
          <w:rFonts w:ascii="Times New Roman" w:hAnsi="Times New Roman" w:cs="Times New Roman"/>
          <w:sz w:val="24"/>
          <w:szCs w:val="24"/>
        </w:rPr>
      </w:pPr>
      <w:r w:rsidRPr="00F05AEC">
        <w:rPr>
          <w:rFonts w:ascii="Times New Roman" w:hAnsi="Times New Roman" w:cs="Times New Roman"/>
          <w:sz w:val="24"/>
          <w:szCs w:val="24"/>
        </w:rPr>
        <w:t xml:space="preserve">Surbhi, S. (2015, October 9). Difference between NPV and IRR. </w:t>
      </w:r>
      <w:r w:rsidRPr="00F05AEC">
        <w:rPr>
          <w:rFonts w:ascii="Times New Roman" w:hAnsi="Times New Roman" w:cs="Times New Roman"/>
          <w:i/>
          <w:sz w:val="24"/>
          <w:szCs w:val="24"/>
        </w:rPr>
        <w:t>KeyDifferences.</w:t>
      </w:r>
      <w:r w:rsidRPr="00F05AEC">
        <w:rPr>
          <w:rFonts w:ascii="Times New Roman" w:hAnsi="Times New Roman" w:cs="Times New Roman"/>
          <w:sz w:val="24"/>
          <w:szCs w:val="24"/>
        </w:rPr>
        <w:t xml:space="preserve"> Retrieved from https://keydifferences.com/difference-between-npv-and-irr.html</w:t>
      </w:r>
    </w:p>
    <w:sectPr w:rsidR="00EC7E51" w:rsidRPr="00832527" w:rsidSect="00F215A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351DC" w14:textId="77777777" w:rsidR="00741560" w:rsidRDefault="00741560" w:rsidP="00F215AF">
      <w:pPr>
        <w:spacing w:after="0" w:line="240" w:lineRule="auto"/>
      </w:pPr>
      <w:r>
        <w:separator/>
      </w:r>
    </w:p>
  </w:endnote>
  <w:endnote w:type="continuationSeparator" w:id="0">
    <w:p w14:paraId="548BCDAA" w14:textId="77777777" w:rsidR="00741560" w:rsidRDefault="00741560" w:rsidP="00F2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36B2C" w14:textId="77777777" w:rsidR="00741560" w:rsidRDefault="00741560" w:rsidP="00F215AF">
      <w:pPr>
        <w:spacing w:after="0" w:line="240" w:lineRule="auto"/>
      </w:pPr>
      <w:r>
        <w:separator/>
      </w:r>
    </w:p>
  </w:footnote>
  <w:footnote w:type="continuationSeparator" w:id="0">
    <w:p w14:paraId="0B3039DD" w14:textId="77777777" w:rsidR="00741560" w:rsidRDefault="00741560" w:rsidP="00F21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7ACBB" w14:textId="24C6CB7A" w:rsidR="00F215AF" w:rsidRPr="004E7472" w:rsidRDefault="004E7472">
    <w:pPr>
      <w:pStyle w:val="Header"/>
    </w:pPr>
    <w:r w:rsidRPr="004E7472">
      <w:rPr>
        <w:rFonts w:ascii="Times New Roman" w:hAnsi="Times New Roman" w:cs="Times New Roman"/>
      </w:rPr>
      <w:t>QUESTION-ANSWER ASSIGNMENT</w:t>
    </w:r>
    <w:r w:rsidR="007A65B5" w:rsidRPr="004E7472">
      <w:rPr>
        <w:rFonts w:ascii="Times New Roman" w:hAnsi="Times New Roman" w:cs="Times New Roman"/>
      </w:rPr>
      <w:tab/>
    </w:r>
    <w:r w:rsidR="007A65B5" w:rsidRPr="004E7472">
      <w:rPr>
        <w:rFonts w:ascii="Times New Roman" w:hAnsi="Times New Roman" w:cs="Times New Roman"/>
      </w:rPr>
      <w:tab/>
    </w:r>
    <w:r w:rsidR="007A65B5" w:rsidRPr="004E7472">
      <w:rPr>
        <w:rFonts w:ascii="Times New Roman" w:hAnsi="Times New Roman" w:cs="Times New Roman"/>
      </w:rPr>
      <w:fldChar w:fldCharType="begin"/>
    </w:r>
    <w:r w:rsidR="007A65B5" w:rsidRPr="004E7472">
      <w:rPr>
        <w:rFonts w:ascii="Times New Roman" w:hAnsi="Times New Roman" w:cs="Times New Roman"/>
      </w:rPr>
      <w:instrText xml:space="preserve"> PAGE   \* MERGEFORMAT </w:instrText>
    </w:r>
    <w:r w:rsidR="007A65B5" w:rsidRPr="004E7472">
      <w:rPr>
        <w:rFonts w:ascii="Times New Roman" w:hAnsi="Times New Roman" w:cs="Times New Roman"/>
      </w:rPr>
      <w:fldChar w:fldCharType="separate"/>
    </w:r>
    <w:r w:rsidR="007A65B5" w:rsidRPr="004E7472">
      <w:rPr>
        <w:rFonts w:ascii="Times New Roman" w:hAnsi="Times New Roman" w:cs="Times New Roman"/>
        <w:noProof/>
      </w:rPr>
      <w:t>2</w:t>
    </w:r>
    <w:r w:rsidR="007A65B5" w:rsidRPr="004E747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71EA8" w14:textId="6BE15ED3" w:rsidR="00F215AF" w:rsidRPr="00832527" w:rsidRDefault="007A65B5">
    <w:pPr>
      <w:pStyle w:val="Header"/>
      <w:rPr>
        <w:rFonts w:ascii="Times New Roman" w:hAnsi="Times New Roman" w:cs="Times New Roman"/>
      </w:rPr>
    </w:pPr>
    <w:r w:rsidRPr="00832527">
      <w:rPr>
        <w:rFonts w:ascii="Times New Roman" w:hAnsi="Times New Roman" w:cs="Times New Roman"/>
      </w:rPr>
      <w:t xml:space="preserve">Running head: </w:t>
    </w:r>
    <w:r w:rsidR="00832527" w:rsidRPr="00832527">
      <w:rPr>
        <w:rFonts w:ascii="Times New Roman" w:hAnsi="Times New Roman" w:cs="Times New Roman"/>
      </w:rPr>
      <w:t>QUESTION-ANSWER ASSIGNMENT</w:t>
    </w:r>
    <w:r w:rsidRPr="00832527">
      <w:rPr>
        <w:rFonts w:ascii="Times New Roman" w:hAnsi="Times New Roman" w:cs="Times New Roman"/>
      </w:rPr>
      <w:tab/>
    </w:r>
    <w:r w:rsidRPr="00832527">
      <w:rPr>
        <w:rFonts w:ascii="Times New Roman" w:hAnsi="Times New Roman" w:cs="Times New Roman"/>
      </w:rPr>
      <w:fldChar w:fldCharType="begin"/>
    </w:r>
    <w:r w:rsidRPr="00832527">
      <w:rPr>
        <w:rFonts w:ascii="Times New Roman" w:hAnsi="Times New Roman" w:cs="Times New Roman"/>
      </w:rPr>
      <w:instrText xml:space="preserve"> PAGE   \* MERGEFORMAT </w:instrText>
    </w:r>
    <w:r w:rsidRPr="00832527">
      <w:rPr>
        <w:rFonts w:ascii="Times New Roman" w:hAnsi="Times New Roman" w:cs="Times New Roman"/>
      </w:rPr>
      <w:fldChar w:fldCharType="separate"/>
    </w:r>
    <w:r w:rsidRPr="00832527">
      <w:rPr>
        <w:rFonts w:ascii="Times New Roman" w:hAnsi="Times New Roman" w:cs="Times New Roman"/>
        <w:noProof/>
      </w:rPr>
      <w:t>1</w:t>
    </w:r>
    <w:r w:rsidRPr="00832527">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435CD"/>
    <w:multiLevelType w:val="hybridMultilevel"/>
    <w:tmpl w:val="0FD60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B93C84"/>
    <w:multiLevelType w:val="hybridMultilevel"/>
    <w:tmpl w:val="43CA2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1ED9"/>
    <w:rsid w:val="002B1ED9"/>
    <w:rsid w:val="00370D8D"/>
    <w:rsid w:val="003E0E31"/>
    <w:rsid w:val="004518C5"/>
    <w:rsid w:val="004A57FC"/>
    <w:rsid w:val="004E7472"/>
    <w:rsid w:val="0051788D"/>
    <w:rsid w:val="00533FAD"/>
    <w:rsid w:val="00553639"/>
    <w:rsid w:val="006F7CAD"/>
    <w:rsid w:val="00741560"/>
    <w:rsid w:val="007A65B5"/>
    <w:rsid w:val="00802E12"/>
    <w:rsid w:val="00832527"/>
    <w:rsid w:val="00C23BDA"/>
    <w:rsid w:val="00CD6B3B"/>
    <w:rsid w:val="00D97A45"/>
    <w:rsid w:val="00E2080C"/>
    <w:rsid w:val="00E218A2"/>
    <w:rsid w:val="00E9720B"/>
    <w:rsid w:val="00EC7E51"/>
    <w:rsid w:val="00F2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80E63"/>
  <w15:docId w15:val="{B975FEA1-8A78-4ECD-8553-7AC16A0C9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ED9"/>
    <w:pPr>
      <w:ind w:left="720"/>
      <w:contextualSpacing/>
    </w:pPr>
  </w:style>
  <w:style w:type="paragraph" w:styleId="Header">
    <w:name w:val="header"/>
    <w:basedOn w:val="Normal"/>
    <w:link w:val="HeaderChar"/>
    <w:uiPriority w:val="99"/>
    <w:unhideWhenUsed/>
    <w:rsid w:val="00F21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5AF"/>
  </w:style>
  <w:style w:type="paragraph" w:styleId="Footer">
    <w:name w:val="footer"/>
    <w:basedOn w:val="Normal"/>
    <w:link w:val="FooterChar"/>
    <w:uiPriority w:val="99"/>
    <w:unhideWhenUsed/>
    <w:rsid w:val="00F21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5AF"/>
  </w:style>
  <w:style w:type="character" w:styleId="Hyperlink">
    <w:name w:val="Hyperlink"/>
    <w:basedOn w:val="DefaultParagraphFont"/>
    <w:uiPriority w:val="99"/>
    <w:unhideWhenUsed/>
    <w:rsid w:val="007A65B5"/>
    <w:rPr>
      <w:color w:val="0000FF" w:themeColor="hyperlink"/>
      <w:u w:val="single"/>
    </w:rPr>
  </w:style>
  <w:style w:type="paragraph" w:styleId="NoSpacing">
    <w:name w:val="No Spacing"/>
    <w:uiPriority w:val="1"/>
    <w:qFormat/>
    <w:rsid w:val="00533F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ountlearning.com/npv-vs-irr-similarities-differences/" TargetMode="External"/><Relationship Id="rId3" Type="http://schemas.openxmlformats.org/officeDocument/2006/relationships/settings" Target="settings.xml"/><Relationship Id="rId7" Type="http://schemas.openxmlformats.org/officeDocument/2006/relationships/hyperlink" Target="https://www.decision-making-solutions.com/decision_making_techniqu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6</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2018-11-25T04:03:00Z</dcterms:created>
  <dcterms:modified xsi:type="dcterms:W3CDTF">2018-11-25T08:36:00Z</dcterms:modified>
</cp:coreProperties>
</file>